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A30E1">
      <w:pPr>
        <w:widowControl/>
        <w:spacing w:line="60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6</w:t>
      </w:r>
    </w:p>
    <w:p w14:paraId="4EF9A50D">
      <w:pPr>
        <w:jc w:val="center"/>
        <w:rPr>
          <w:rFonts w:ascii="Times New Roman" w:hAnsi="Times New Roman" w:eastAsia="方正小标宋简体"/>
          <w:sz w:val="48"/>
          <w:szCs w:val="48"/>
        </w:rPr>
      </w:pPr>
      <w:r>
        <w:rPr>
          <w:rFonts w:hint="eastAsia" w:ascii="Times New Roman" w:hAnsi="Times New Roman" w:eastAsia="方正小标宋简体"/>
          <w:sz w:val="48"/>
          <w:szCs w:val="48"/>
        </w:rPr>
        <w:t>项目</w:t>
      </w:r>
      <w:r>
        <w:rPr>
          <w:rFonts w:ascii="Times New Roman" w:hAnsi="Times New Roman" w:eastAsia="方正小标宋简体"/>
          <w:sz w:val="48"/>
          <w:szCs w:val="48"/>
        </w:rPr>
        <w:t>支出绩效自评报告</w:t>
      </w:r>
    </w:p>
    <w:p w14:paraId="4F962CCB">
      <w:pPr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/>
          <w:sz w:val="36"/>
          <w:szCs w:val="36"/>
        </w:rPr>
        <w:t>（</w:t>
      </w:r>
      <w:r>
        <w:rPr>
          <w:rFonts w:ascii="Times New Roman" w:hAnsi="Times New Roman" w:eastAsia="方正小标宋简体"/>
          <w:sz w:val="36"/>
          <w:szCs w:val="36"/>
        </w:rPr>
        <w:t>202</w:t>
      </w:r>
      <w:r>
        <w:rPr>
          <w:rFonts w:hint="eastAsia" w:ascii="Times New Roman" w:hAnsi="Times New Roman" w:eastAsia="方正小标宋简体"/>
          <w:sz w:val="36"/>
          <w:szCs w:val="36"/>
        </w:rPr>
        <w:t>4</w:t>
      </w:r>
      <w:r>
        <w:rPr>
          <w:rFonts w:ascii="Times New Roman" w:hAnsi="Times New Roman" w:eastAsia="方正小标宋简体"/>
          <w:sz w:val="36"/>
          <w:szCs w:val="36"/>
        </w:rPr>
        <w:t>年度</w:t>
      </w:r>
      <w:r>
        <w:rPr>
          <w:rFonts w:hint="eastAsia" w:ascii="Times New Roman" w:hAnsi="Times New Roman" w:eastAsia="方正小标宋简体"/>
          <w:sz w:val="36"/>
          <w:szCs w:val="36"/>
        </w:rPr>
        <w:t>）</w:t>
      </w:r>
    </w:p>
    <w:p w14:paraId="38474ED5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26ADFC8D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76711F89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544AEC8C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24AACBAB">
      <w:pPr>
        <w:rPr>
          <w:rFonts w:ascii="Times New Roman" w:hAnsi="Times New Roman" w:eastAsia="黑体"/>
          <w:sz w:val="32"/>
          <w:szCs w:val="32"/>
        </w:rPr>
      </w:pPr>
    </w:p>
    <w:p w14:paraId="2F0C0AE1">
      <w:pPr>
        <w:jc w:val="center"/>
        <w:rPr>
          <w:rFonts w:ascii="Times New Roman" w:hAnsi="Times New Roman"/>
          <w:sz w:val="36"/>
          <w:szCs w:val="36"/>
        </w:rPr>
      </w:pPr>
    </w:p>
    <w:p w14:paraId="4FE4FE55">
      <w:pPr>
        <w:jc w:val="center"/>
        <w:rPr>
          <w:rFonts w:ascii="Times New Roman" w:hAnsi="Times New Roman"/>
          <w:sz w:val="36"/>
          <w:szCs w:val="36"/>
        </w:rPr>
      </w:pPr>
    </w:p>
    <w:p w14:paraId="35616103">
      <w:pPr>
        <w:jc w:val="center"/>
        <w:rPr>
          <w:rFonts w:ascii="Times New Roman" w:hAnsi="Times New Roman"/>
          <w:sz w:val="36"/>
          <w:szCs w:val="36"/>
        </w:rPr>
      </w:pPr>
    </w:p>
    <w:p w14:paraId="1D33B0B2">
      <w:pPr>
        <w:jc w:val="center"/>
        <w:rPr>
          <w:rFonts w:ascii="Times New Roman" w:hAnsi="Times New Roman"/>
          <w:sz w:val="36"/>
          <w:szCs w:val="36"/>
        </w:rPr>
      </w:pPr>
    </w:p>
    <w:p w14:paraId="50DEC0B7">
      <w:pPr>
        <w:jc w:val="center"/>
        <w:rPr>
          <w:rFonts w:ascii="Times New Roman" w:hAnsi="Times New Roman"/>
          <w:sz w:val="36"/>
          <w:szCs w:val="36"/>
        </w:rPr>
      </w:pPr>
    </w:p>
    <w:p w14:paraId="56FED743">
      <w:pPr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单位名称</w:t>
      </w:r>
      <w:r>
        <w:rPr>
          <w:rFonts w:hint="eastAsia" w:ascii="Times New Roman" w:hAnsi="Times New Roman"/>
          <w:sz w:val="36"/>
          <w:szCs w:val="36"/>
        </w:rPr>
        <w:t>：（盖章）衡阳市职业中等专业学校</w:t>
      </w:r>
    </w:p>
    <w:p w14:paraId="6CCADC70">
      <w:pPr>
        <w:ind w:firstLine="720" w:firstLineChars="200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/>
          <w:sz w:val="36"/>
          <w:szCs w:val="36"/>
        </w:rPr>
        <w:t>主要负责人签字</w:t>
      </w:r>
      <w:r>
        <w:rPr>
          <w:rFonts w:ascii="Times New Roman" w:hAnsi="Times New Roman"/>
          <w:sz w:val="36"/>
          <w:szCs w:val="36"/>
        </w:rPr>
        <w:t>：</w:t>
      </w:r>
    </w:p>
    <w:p w14:paraId="15CA476F">
      <w:pPr>
        <w:jc w:val="center"/>
        <w:rPr>
          <w:rFonts w:ascii="Times New Roman" w:hAnsi="Times New Roman" w:eastAsia="黑体"/>
          <w:sz w:val="36"/>
          <w:szCs w:val="36"/>
        </w:rPr>
      </w:pPr>
    </w:p>
    <w:p w14:paraId="6C761943">
      <w:pPr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2025</w:t>
      </w:r>
      <w:r>
        <w:rPr>
          <w:rFonts w:ascii="Times New Roman" w:hAnsi="Times New Roman" w:eastAsia="黑体"/>
          <w:sz w:val="32"/>
          <w:szCs w:val="32"/>
        </w:rPr>
        <w:t>年</w:t>
      </w:r>
      <w:r>
        <w:rPr>
          <w:rFonts w:hint="eastAsia" w:ascii="Times New Roman" w:hAnsi="Times New Roman" w:eastAsia="黑体"/>
          <w:sz w:val="32"/>
          <w:szCs w:val="32"/>
        </w:rPr>
        <w:t>2</w:t>
      </w:r>
      <w:r>
        <w:rPr>
          <w:rFonts w:ascii="Times New Roman" w:hAnsi="Times New Roman" w:eastAsia="黑体"/>
          <w:sz w:val="32"/>
          <w:szCs w:val="32"/>
        </w:rPr>
        <w:t>月</w:t>
      </w:r>
      <w:r>
        <w:rPr>
          <w:rFonts w:hint="eastAsia" w:ascii="Times New Roman" w:hAnsi="Times New Roman" w:eastAsia="黑体"/>
          <w:sz w:val="32"/>
          <w:szCs w:val="32"/>
        </w:rPr>
        <w:t>26</w:t>
      </w:r>
      <w:r>
        <w:rPr>
          <w:rFonts w:ascii="Times New Roman" w:hAnsi="Times New Roman" w:eastAsia="黑体"/>
          <w:sz w:val="32"/>
          <w:szCs w:val="32"/>
        </w:rPr>
        <w:t>日</w:t>
      </w:r>
    </w:p>
    <w:p w14:paraId="0C7F951F">
      <w:pPr>
        <w:jc w:val="center"/>
        <w:rPr>
          <w:rFonts w:ascii="Times New Roman" w:hAnsi="Times New Roman" w:eastAsia="黑体"/>
          <w:sz w:val="32"/>
          <w:szCs w:val="32"/>
        </w:rPr>
      </w:pPr>
    </w:p>
    <w:p w14:paraId="3DF76664">
      <w:pPr>
        <w:spacing w:line="600" w:lineRule="exact"/>
        <w:jc w:val="center"/>
        <w:rPr>
          <w:rFonts w:ascii="Times New Roman" w:hAnsi="Times New Roman" w:eastAsia="方正小标宋_GBK"/>
          <w:sz w:val="36"/>
          <w:szCs w:val="36"/>
        </w:rPr>
      </w:pPr>
    </w:p>
    <w:p w14:paraId="7639C277">
      <w:pPr>
        <w:spacing w:line="600" w:lineRule="exact"/>
        <w:jc w:val="center"/>
        <w:rPr>
          <w:rFonts w:ascii="Times New Roman" w:hAnsi="Times New Roman" w:eastAsia="方正小标宋_GBK"/>
          <w:sz w:val="36"/>
          <w:szCs w:val="36"/>
        </w:rPr>
      </w:pPr>
    </w:p>
    <w:p w14:paraId="42FFA988">
      <w:pPr>
        <w:spacing w:line="600" w:lineRule="exact"/>
        <w:jc w:val="center"/>
        <w:rPr>
          <w:rFonts w:ascii="Times New Roman" w:hAnsi="Times New Roman" w:eastAsia="方正小标宋_GBK"/>
          <w:sz w:val="36"/>
          <w:szCs w:val="36"/>
        </w:rPr>
      </w:pPr>
    </w:p>
    <w:p w14:paraId="4079692C">
      <w:pPr>
        <w:spacing w:line="600" w:lineRule="exact"/>
        <w:rPr>
          <w:rFonts w:ascii="Times New Roman" w:hAnsi="Times New Roman" w:eastAsia="方正小标宋_GBK"/>
          <w:sz w:val="36"/>
          <w:szCs w:val="36"/>
        </w:rPr>
      </w:pPr>
    </w:p>
    <w:p w14:paraId="0077701A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项目支出绩效自评报告</w:t>
      </w:r>
    </w:p>
    <w:p w14:paraId="73FA4336">
      <w:pPr>
        <w:adjustRightInd w:val="0"/>
        <w:spacing w:line="600" w:lineRule="exact"/>
        <w:ind w:right="641"/>
        <w:rPr>
          <w:rFonts w:ascii="Times New Roman" w:hAnsi="Times New Roman" w:eastAsia="仿宋_GB2312"/>
          <w:sz w:val="32"/>
          <w:szCs w:val="32"/>
        </w:rPr>
      </w:pPr>
    </w:p>
    <w:p w14:paraId="05B8F63C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一、项目支出概况</w:t>
      </w:r>
    </w:p>
    <w:p w14:paraId="0D5F0877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（一）项目实施单位基本情况。</w:t>
      </w:r>
    </w:p>
    <w:p w14:paraId="35DAE7FB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"/>
          <w:color w:val="000000"/>
          <w:sz w:val="32"/>
          <w:szCs w:val="32"/>
        </w:rPr>
        <w:t>我校是国家中等职业教育改革发展示范学校，国家级首批重点中等职业学校，湖南省卓越中职学校建设单位，湖南省首批楚怡双优A类中职学校，湖南省首批教育信息化应用示范学校建设单位，是市直属公办综合类全日制中等职业学校，主管部门为衡阳市教育局。</w:t>
      </w:r>
      <w:r>
        <w:rPr>
          <w:rFonts w:hint="eastAsia" w:ascii="Times New Roman" w:hAnsi="Times New Roman" w:eastAsia="仿宋"/>
          <w:sz w:val="32"/>
          <w:szCs w:val="32"/>
        </w:rPr>
        <w:t>我校是独立核算的财政全额拨款事业单位，执行事业单位会计制度。</w:t>
      </w:r>
    </w:p>
    <w:p w14:paraId="1A948A5F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（二）项目资金基本情况包括预算资金基本性质、用途和主要内容、涉及范围等。</w:t>
      </w:r>
    </w:p>
    <w:p w14:paraId="0EE7AA24"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2024年学校专项</w:t>
      </w:r>
      <w:r>
        <w:rPr>
          <w:rFonts w:eastAsia="仿宋_GB2312"/>
          <w:sz w:val="32"/>
          <w:szCs w:val="32"/>
        </w:rPr>
        <w:t>资金</w:t>
      </w:r>
      <w:r>
        <w:rPr>
          <w:rFonts w:hint="eastAsia" w:eastAsia="仿宋_GB2312"/>
          <w:sz w:val="32"/>
          <w:szCs w:val="32"/>
        </w:rPr>
        <w:t>由财政拨款1250.35万元，主要用于新女生公寓建设工程项目、教师公租房及第一、二、三教学楼改造工程等。</w:t>
      </w:r>
    </w:p>
    <w:p w14:paraId="7A7B8A40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（三）预算资金绩效目标，包括总体目标和年度目标。</w:t>
      </w:r>
    </w:p>
    <w:p w14:paraId="33C0FE1A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我校严格按照公开招投标的要求，新女生公寓建设工程项目、教师公租房及第一、二、三教学楼改造工程顺利完成并投入使用，达到预期目标。</w:t>
      </w:r>
    </w:p>
    <w:p w14:paraId="7123EC53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二、项目资金使用及管理情况</w:t>
      </w:r>
    </w:p>
    <w:p w14:paraId="51236999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（一）项目资金及自筹资金的安排落实、总投入等情况。</w:t>
      </w:r>
    </w:p>
    <w:p w14:paraId="5C3DED11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资金</w:t>
      </w:r>
      <w:r>
        <w:rPr>
          <w:rFonts w:hint="eastAsia" w:eastAsia="仿宋_GB2312"/>
          <w:sz w:val="32"/>
          <w:szCs w:val="32"/>
        </w:rPr>
        <w:t>预算总投入1139万元，自筹资金1139万元，实际财政拨款到位1250.35万元。</w:t>
      </w:r>
    </w:p>
    <w:p w14:paraId="3ABCA918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（二）项目资金实际使用情况。</w:t>
      </w:r>
    </w:p>
    <w:p w14:paraId="57336936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所有</w:t>
      </w:r>
      <w:r>
        <w:rPr>
          <w:rFonts w:ascii="Times New Roman" w:hAnsi="Times New Roman" w:eastAsia="仿宋_GB2312"/>
          <w:sz w:val="32"/>
          <w:szCs w:val="32"/>
        </w:rPr>
        <w:t>项目</w:t>
      </w:r>
      <w:r>
        <w:rPr>
          <w:rFonts w:hint="eastAsia" w:eastAsia="仿宋_GB2312"/>
          <w:sz w:val="32"/>
          <w:szCs w:val="32"/>
        </w:rPr>
        <w:t>资金</w:t>
      </w:r>
      <w:r>
        <w:rPr>
          <w:rFonts w:eastAsia="仿宋_GB2312"/>
          <w:sz w:val="32"/>
          <w:szCs w:val="32"/>
        </w:rPr>
        <w:t>按项目建设</w:t>
      </w:r>
      <w:r>
        <w:rPr>
          <w:rFonts w:hint="eastAsia" w:eastAsia="仿宋_GB2312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要求和进度全部落实到位。截止目前实际总支出为</w:t>
      </w:r>
      <w:r>
        <w:rPr>
          <w:rFonts w:hint="eastAsia" w:eastAsia="仿宋_GB2312"/>
          <w:sz w:val="32"/>
          <w:szCs w:val="32"/>
        </w:rPr>
        <w:t>1250.35万元，其中：新女生公寓建设工程项目239万元，</w:t>
      </w:r>
      <w:r>
        <w:rPr>
          <w:rFonts w:hint="eastAsia" w:eastAsia="仿宋"/>
          <w:sz w:val="32"/>
          <w:szCs w:val="32"/>
        </w:rPr>
        <w:t>教师公租房95.7万元，第一、二、三教学楼改造331万元</w:t>
      </w:r>
      <w:r>
        <w:rPr>
          <w:rFonts w:hint="eastAsia" w:eastAsia="仿宋_GB2312"/>
          <w:sz w:val="32"/>
          <w:szCs w:val="32"/>
        </w:rPr>
        <w:t>。</w:t>
      </w:r>
    </w:p>
    <w:p w14:paraId="43F3C85C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（三）项目资金管理情况分析，主要包括管理制度、办法的制订及执行情况。</w:t>
      </w:r>
    </w:p>
    <w:p w14:paraId="704CDDA4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学校严格执行财务管理制度和教育专项资金管理办法，做到了费用支出制度健全，会计核算规范，无虚列、挤占、挪用情况，无超标准开支情况。设备购置有预算、论证或报告，物质采购严格按政府采购等规定执行。保障会计核算准确、财务资料完整。专项资金专款专用，最大限度发挥资金效益。 </w:t>
      </w:r>
    </w:p>
    <w:p w14:paraId="5FEB8DF4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三、项目支出组织实施情况</w:t>
      </w:r>
    </w:p>
    <w:p w14:paraId="37F36BCC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（一）项目资金使用管理情况，主要包括项目资金及项目管理制度建设、日常检查监督管理等情况。</w:t>
      </w:r>
    </w:p>
    <w:p w14:paraId="31A232E3">
      <w:pPr>
        <w:widowControl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eastAsia="仿宋"/>
          <w:sz w:val="32"/>
          <w:szCs w:val="32"/>
        </w:rPr>
        <w:t>按照省、市财政专项资金管理办法，《中华人民共和国招标投标法》，学校专门制订了建设项目管理制度、专项资金管理制度、严格按照审批程序支付专项资金，严格管控建设成本和质量管控，加强支出审核控制，全面审核各类单据。财务人员认真审核财政预算报告书、工程项目合同、公开招标书、政府采购合同、财政结算报告书、验收报告等，再经教育局、财政有关部门审批签章后，方可到支付局办理支付手续。各项专项资金，做到了及时到位，专款专用，无截留、卡扣、占用和挪用等情况，财务制度健全，会计核算规范，支付依据合规。加强项目建设的</w:t>
      </w:r>
      <w:r>
        <w:rPr>
          <w:rFonts w:hint="eastAsia" w:eastAsia="仿宋_GB2312"/>
          <w:sz w:val="32"/>
          <w:szCs w:val="32"/>
        </w:rPr>
        <w:t>日常检查监督管理，</w:t>
      </w:r>
      <w:r>
        <w:rPr>
          <w:rFonts w:hint="eastAsia" w:eastAsia="仿宋"/>
          <w:sz w:val="32"/>
          <w:szCs w:val="32"/>
        </w:rPr>
        <w:t>学校后勤科牵头及相关科室参与，对项目进展进行跟踪</w:t>
      </w:r>
      <w:r>
        <w:rPr>
          <w:rFonts w:hint="eastAsia" w:eastAsia="仿宋_GB2312"/>
          <w:sz w:val="32"/>
          <w:szCs w:val="32"/>
        </w:rPr>
        <w:t>督查，发现问题及时纠正，确保项目按质按量顺利完成。</w:t>
      </w:r>
    </w:p>
    <w:p w14:paraId="419F8ABD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（二）项目组织实施情况，主要包括项目招投标、调整、竣工验收等情况。</w:t>
      </w:r>
    </w:p>
    <w:p w14:paraId="1DDFCAB3"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.注重加强对专项资金项目申报、立项、可行性研究、预算编制工作的管理，以保证项目的可行性和科学性。在编报项目预算时要求制定详细的项目推进计划，明确分工，责任到人，以保证专项资金均能够保质保量执行到位。</w:t>
      </w:r>
    </w:p>
    <w:p w14:paraId="2D6FE61B"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2.建立预算平衡机制，保障重大项目的资金需求，优化资金支出结构，提高资金使用效率。</w:t>
      </w:r>
    </w:p>
    <w:p w14:paraId="38DB72AD">
      <w:pPr>
        <w:widowControl/>
        <w:spacing w:line="60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3.建立动态管理机制。在专项资金项目执行过程中，注重加强对专项资金的动态管理，定期公布专项资金执行进度，定期召开专项资金执行情况调度会，促进专项资金按预算执行。</w:t>
      </w:r>
      <w:r>
        <w:rPr>
          <w:rFonts w:hint="eastAsia" w:ascii="仿宋_GB2312" w:hAnsi="黑体" w:eastAsia="仿宋_GB2312"/>
          <w:sz w:val="32"/>
          <w:szCs w:val="32"/>
        </w:rPr>
        <w:t>严格按照项目建设实施方案执行，建设进度安排合理、可行，工作重点突出，配套设备能按申报计划到位，确保项目建设如期完成。</w:t>
      </w:r>
    </w:p>
    <w:p w14:paraId="12288F82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.加强对项目的过程管理。从资金申报、项目审定、采购审批、发布公告、招投标等，全程每环节均通过政府采购网进行实施，实现了政府采购全过程的公开、公平、透明。提高资金的使用效益，将评价结果作为以后年度资金安排的依据。</w:t>
      </w:r>
    </w:p>
    <w:p w14:paraId="1ADA86AA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四、项目支出绩效情况</w:t>
      </w:r>
    </w:p>
    <w:p w14:paraId="46005F39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（一）项目支出决策情况。</w:t>
      </w:r>
    </w:p>
    <w:p w14:paraId="2586987F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eastAsia="仿宋_GB2312"/>
          <w:sz w:val="32"/>
          <w:szCs w:val="32"/>
        </w:rPr>
        <w:t>本项目决策依据符合年度工作计划，根据需要制定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实施规划；决策符合程序，并履行相应手续；资金分配因素全面合理，资金使用合理合规。</w:t>
      </w:r>
    </w:p>
    <w:p w14:paraId="59650081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（二）项目支出过程情况。</w:t>
      </w:r>
    </w:p>
    <w:p w14:paraId="018B70D7">
      <w:pPr>
        <w:adjustRightInd w:val="0"/>
        <w:snapToGrid w:val="0"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新女生公寓建设工程项目：中标价格为729.65万元，</w:t>
      </w:r>
      <w:r>
        <w:rPr>
          <w:rFonts w:hint="eastAsia" w:eastAsia="仿宋_GB2312"/>
          <w:sz w:val="32"/>
          <w:szCs w:val="32"/>
          <w:lang w:val="en-US" w:eastAsia="zh-CN"/>
        </w:rPr>
        <w:t>2023年度已支付八次工程款共计510.78</w:t>
      </w:r>
      <w:r>
        <w:rPr>
          <w:rFonts w:hint="eastAsia" w:eastAsia="仿宋_GB2312"/>
          <w:sz w:val="32"/>
          <w:szCs w:val="32"/>
        </w:rPr>
        <w:t>万元，</w:t>
      </w:r>
      <w:r>
        <w:rPr>
          <w:rFonts w:hint="eastAsia" w:eastAsia="仿宋_GB2312"/>
          <w:sz w:val="32"/>
          <w:szCs w:val="32"/>
          <w:lang w:val="en-US" w:eastAsia="zh-CN"/>
        </w:rPr>
        <w:t>2024年第九次付工程款58.37万元，第十次付工程款36万元，第十一次付附属工程款25.58万</w:t>
      </w:r>
      <w:bookmarkStart w:id="0" w:name="_GoBack"/>
      <w:bookmarkEnd w:id="0"/>
      <w:r>
        <w:rPr>
          <w:rFonts w:hint="eastAsia" w:eastAsia="仿宋_GB2312"/>
          <w:sz w:val="32"/>
          <w:szCs w:val="32"/>
          <w:lang w:val="en-US" w:eastAsia="zh-CN"/>
        </w:rPr>
        <w:t>元，第十二次付附属工程款20.3万元，第十三次付附属工程款51.58万元，其他附属设施等零星费用47.17万元</w:t>
      </w:r>
      <w:r>
        <w:rPr>
          <w:rFonts w:hint="eastAsia" w:eastAsia="仿宋_GB2312"/>
          <w:sz w:val="32"/>
          <w:szCs w:val="32"/>
        </w:rPr>
        <w:t>。教师公租房项目：项目中标价格为95.7万元，第一次付家具款为31.49万元，第二次付工程款为46.48万元，第三次付工程款12.16万元，水电材料等零星款5.5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hint="eastAsia" w:eastAsia="仿宋_GB2312"/>
          <w:sz w:val="32"/>
          <w:szCs w:val="32"/>
        </w:rPr>
        <w:t>万元。第一、二、三教学楼改造：工程中标价格为339.86万元，第一次工程款付款为80万元，第二次工程款付款为100万元，第三次工程款付款为50万元，第四次工程款付款为46.27万元，第五次工程款付款为12.6万元，工程监理费、附属设施等零星费用4</w:t>
      </w:r>
      <w:r>
        <w:rPr>
          <w:rFonts w:eastAsia="仿宋_GB2312"/>
          <w:sz w:val="32"/>
          <w:szCs w:val="32"/>
        </w:rPr>
        <w:t>2.12万元</w:t>
      </w:r>
      <w:r>
        <w:rPr>
          <w:rFonts w:hint="eastAsia" w:eastAsia="仿宋_GB2312"/>
          <w:sz w:val="32"/>
          <w:szCs w:val="32"/>
        </w:rPr>
        <w:t>。未付工程款5</w:t>
      </w:r>
      <w:r>
        <w:rPr>
          <w:rFonts w:hint="eastAsia" w:eastAsia="仿宋_GB2312"/>
          <w:sz w:val="32"/>
          <w:szCs w:val="32"/>
          <w:lang w:val="en-US" w:eastAsia="zh-CN"/>
        </w:rPr>
        <w:t>0.99</w:t>
      </w:r>
      <w:r>
        <w:rPr>
          <w:rFonts w:hint="eastAsia" w:eastAsia="仿宋_GB2312"/>
          <w:sz w:val="32"/>
          <w:szCs w:val="32"/>
        </w:rPr>
        <w:t>万元，待财评结算后支付。</w:t>
      </w:r>
    </w:p>
    <w:p w14:paraId="0730A08C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（三）项目支出产出情况。</w:t>
      </w:r>
    </w:p>
    <w:p w14:paraId="7325DC9F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新女生公寓建设工程项目、教师公租房及第一、二、三教学楼改造工程顺利完成，解决了学校住校生宿舍床位不足的问题，极大地改善了学生的住宿条件，解决了教职工的休息用房问题，提升了学生的学习环境，美化了校园环境，改善了学校教学条件。学生满意度、教师满意度、社会满意度、来访者满意度均为100%。</w:t>
      </w:r>
    </w:p>
    <w:p w14:paraId="1513A671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（四）项目支出效益情况。</w:t>
      </w:r>
    </w:p>
    <w:p w14:paraId="43C5AB28">
      <w:pPr>
        <w:widowControl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eastAsia="仿宋"/>
          <w:sz w:val="32"/>
          <w:szCs w:val="32"/>
        </w:rPr>
        <w:t>2024年度在衡阳市市委、市政府、市教育局的正确领导下，学校以提高教育教学质量为中心，进一步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改善办学条件，</w:t>
      </w:r>
      <w:r>
        <w:rPr>
          <w:rFonts w:hint="eastAsia" w:eastAsia="仿宋"/>
          <w:sz w:val="32"/>
          <w:szCs w:val="32"/>
        </w:rPr>
        <w:t>充分发挥财政资金使用效率，确保各项计划和任务的顺利完成，使得学校的各项工作再上新台阶。2024年项目资金及时到位后，学校各项日常工作进展顺利，取得了较好成效。</w:t>
      </w:r>
    </w:p>
    <w:p w14:paraId="352CD8BE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五、主要经验做法、存在的问题及原因分析</w:t>
      </w:r>
    </w:p>
    <w:p w14:paraId="5BF03C30">
      <w:pPr>
        <w:widowControl/>
        <w:spacing w:line="60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主要经验：学校领导高度重视，服务意识强，项目管理规范，</w:t>
      </w:r>
      <w:r>
        <w:rPr>
          <w:rFonts w:ascii="仿宋_GB2312" w:hAnsi="黑体" w:eastAsia="仿宋_GB2312"/>
          <w:sz w:val="32"/>
          <w:szCs w:val="32"/>
        </w:rPr>
        <w:t>落实责任分工</w:t>
      </w:r>
      <w:r>
        <w:rPr>
          <w:rFonts w:hint="eastAsia" w:ascii="仿宋_GB2312" w:hAnsi="黑体" w:eastAsia="仿宋_GB2312"/>
          <w:sz w:val="32"/>
          <w:szCs w:val="32"/>
        </w:rPr>
        <w:t>。</w:t>
      </w:r>
      <w:r>
        <w:rPr>
          <w:rFonts w:ascii="仿宋_GB2312" w:hAnsi="黑体" w:eastAsia="仿宋_GB2312"/>
          <w:sz w:val="32"/>
          <w:szCs w:val="32"/>
        </w:rPr>
        <w:t>制定了专项资金管理工作制度，明确了资金付款流程，统一了资金申请手续，做到了层层审核、层层负责、层层把关。确保项目顺利进行</w:t>
      </w:r>
      <w:r>
        <w:rPr>
          <w:rFonts w:hint="eastAsia" w:ascii="仿宋_GB2312" w:hAnsi="黑体" w:eastAsia="仿宋_GB2312"/>
          <w:sz w:val="32"/>
          <w:szCs w:val="32"/>
        </w:rPr>
        <w:t>，确保项目质量与进度并重。</w:t>
      </w:r>
    </w:p>
    <w:p w14:paraId="398114DA">
      <w:pPr>
        <w:widowControl/>
        <w:spacing w:line="600" w:lineRule="exact"/>
        <w:ind w:firstLine="640" w:firstLineChars="2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存在问题及原因分析：我校虽然取得了一些成绩，实现了健康快速发展，但还存在许多困难和问题，与现代职业教育要求相比，仍存在较大差距。主要体现在原计划学校要进行整体搬迁，学校基础能力建设比较薄弱，内涵建设相对滞后。项目建设需要的资金投入太多，从而导致专项资金在安排过程中难以突出重点，仅能对部分项目建设做出适当补助，难以发挥出专项资金的最大效益。</w:t>
      </w:r>
    </w:p>
    <w:p w14:paraId="7CC42F76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六、有关建议</w:t>
      </w:r>
    </w:p>
    <w:p w14:paraId="37034655"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建议根据我校职业教育发展的现状与实际情况，积极争取专项资金，把技能型人才培养需要与实训室建设有机结合。</w:t>
      </w:r>
      <w:r>
        <w:rPr>
          <w:rFonts w:hint="eastAsia" w:ascii="仿宋" w:hAnsi="仿宋" w:eastAsia="仿宋"/>
          <w:sz w:val="32"/>
          <w:szCs w:val="32"/>
          <w:shd w:val="clear" w:color="auto" w:fill="FFFFFF"/>
        </w:rPr>
        <w:t>进一步加强专业建设、改善办学条件、配套完备的设备设施、加大教师的培训力度，提高教师的专业知识和教育教学水平，更好地为教育教学服务。</w:t>
      </w:r>
      <w:r>
        <w:rPr>
          <w:rFonts w:hint="eastAsia" w:ascii="仿宋_GB2312" w:hAnsi="黑体" w:eastAsia="仿宋_GB2312"/>
          <w:sz w:val="32"/>
          <w:szCs w:val="32"/>
        </w:rPr>
        <w:t>在以后的专项资金安排时，重点突出内涵建设的资金投入。</w:t>
      </w:r>
    </w:p>
    <w:p w14:paraId="3BB5CF8A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七、其他需要说明的问题</w:t>
      </w:r>
    </w:p>
    <w:p w14:paraId="0D3044BA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无。</w:t>
      </w:r>
    </w:p>
    <w:p w14:paraId="1B828316">
      <w:pPr>
        <w:rPr>
          <w:sz w:val="32"/>
          <w:szCs w:val="32"/>
        </w:rPr>
      </w:pPr>
    </w:p>
    <w:p w14:paraId="7B870AFD">
      <w:pPr>
        <w:rPr>
          <w:sz w:val="32"/>
          <w:szCs w:val="32"/>
        </w:rPr>
      </w:pPr>
    </w:p>
    <w:p w14:paraId="3FAD51BA">
      <w:pPr>
        <w:widowControl/>
        <w:spacing w:line="600" w:lineRule="exact"/>
        <w:ind w:firstLine="4480" w:firstLineChars="1400"/>
        <w:jc w:val="left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衡阳市职业中等专业学校</w:t>
      </w:r>
    </w:p>
    <w:p w14:paraId="53ABAAD9">
      <w:pPr>
        <w:ind w:right="64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     2025年2月26日</w:t>
      </w:r>
    </w:p>
    <w:p w14:paraId="0342F5E5"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2F6B47"/>
    <w:rsid w:val="001C3EE7"/>
    <w:rsid w:val="005F09AF"/>
    <w:rsid w:val="00860662"/>
    <w:rsid w:val="00897273"/>
    <w:rsid w:val="00EC0717"/>
    <w:rsid w:val="0A5A448A"/>
    <w:rsid w:val="13A520F1"/>
    <w:rsid w:val="144A48FF"/>
    <w:rsid w:val="3D0F48FB"/>
    <w:rsid w:val="489C2751"/>
    <w:rsid w:val="51AC4DE0"/>
    <w:rsid w:val="51F07EE3"/>
    <w:rsid w:val="693D7F76"/>
    <w:rsid w:val="6EAF39B5"/>
    <w:rsid w:val="732F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7</Pages>
  <Words>2565</Words>
  <Characters>2665</Characters>
  <Lines>1</Lines>
  <Paragraphs>5</Paragraphs>
  <TotalTime>13</TotalTime>
  <ScaleCrop>false</ScaleCrop>
  <LinksUpToDate>false</LinksUpToDate>
  <CharactersWithSpaces>2697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2025-02-26T05:15:00Z</dcterms:created>
  <dc:creator>leon</dc:creator>
  <cp:lastModifiedBy>leon</cp:lastModifiedBy>
  <dcterms:modified xsi:type="dcterms:W3CDTF">2025-02-27T13:00:50Z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89A0682861114C45B819F612EE109E11_13</vt:lpwstr>
  </property>
  <property fmtid="{D5CDD505-2E9C-101B-9397-08002B2CF9AE}" pid="4" name="KSOTemplateDocerSaveRecord">
    <vt:lpwstr>eyJoZGlkIjoiOGEzYWQ3NWYwZjUyNzdhYTMyMjViMjVhYjQ3NTFjNTYiLCJ1c2VySWQiOiI2NjMzNTA4NTIifQ==</vt:lpwstr>
  </property>
</Properties>
</file>